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8E9E" w14:textId="31F1E7CF" w:rsidR="00A12D2E" w:rsidRPr="00563E05" w:rsidRDefault="00974CF4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cs-CZ"/>
        </w:rPr>
      </w:pPr>
      <w:r w:rsidRPr="00563E05">
        <w:rPr>
          <w:rFonts w:cstheme="minorHAnsi"/>
          <w:b/>
          <w:sz w:val="28"/>
          <w:szCs w:val="28"/>
        </w:rPr>
        <w:t xml:space="preserve">V </w:t>
      </w:r>
      <w:r w:rsidR="00522A51" w:rsidRPr="00563E05">
        <w:rPr>
          <w:rFonts w:cstheme="minorHAnsi"/>
          <w:b/>
          <w:sz w:val="28"/>
          <w:szCs w:val="28"/>
        </w:rPr>
        <w:t>Národní</w:t>
      </w:r>
      <w:r w:rsidRPr="00563E05">
        <w:rPr>
          <w:rFonts w:cstheme="minorHAnsi"/>
          <w:b/>
          <w:sz w:val="28"/>
          <w:szCs w:val="28"/>
        </w:rPr>
        <w:t>m</w:t>
      </w:r>
      <w:r w:rsidR="00522A51" w:rsidRPr="00563E05">
        <w:rPr>
          <w:rFonts w:cstheme="minorHAnsi"/>
          <w:b/>
          <w:sz w:val="28"/>
          <w:szCs w:val="28"/>
        </w:rPr>
        <w:t xml:space="preserve"> muzeu</w:t>
      </w:r>
      <w:r w:rsidRPr="00563E05">
        <w:rPr>
          <w:rFonts w:cstheme="minorHAnsi"/>
          <w:b/>
          <w:sz w:val="28"/>
          <w:szCs w:val="28"/>
        </w:rPr>
        <w:t xml:space="preserve"> </w:t>
      </w:r>
      <w:r w:rsidR="00563E05" w:rsidRPr="00563E05">
        <w:rPr>
          <w:rFonts w:cstheme="minorHAnsi"/>
          <w:b/>
          <w:sz w:val="28"/>
          <w:szCs w:val="28"/>
        </w:rPr>
        <w:t xml:space="preserve">jsou k vidění </w:t>
      </w:r>
      <w:r w:rsidR="00563E05" w:rsidRPr="00563E05">
        <w:rPr>
          <w:b/>
          <w:bCs/>
          <w:color w:val="000000"/>
          <w:sz w:val="28"/>
          <w:szCs w:val="28"/>
          <w:bdr w:val="none" w:sz="0" w:space="0" w:color="auto" w:frame="1"/>
        </w:rPr>
        <w:t>Moderní knižní obálky z muzejní knihovny</w:t>
      </w:r>
    </w:p>
    <w:p w14:paraId="04E074EA" w14:textId="77777777" w:rsidR="00563E05" w:rsidRPr="00563E05" w:rsidRDefault="00563E05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Cs w:val="24"/>
          <w:highlight w:val="yellow"/>
          <w:u w:val="single"/>
          <w:bdr w:val="none" w:sz="0" w:space="0" w:color="auto" w:frame="1"/>
          <w:lang w:eastAsia="cs-CZ"/>
        </w:rPr>
      </w:pPr>
    </w:p>
    <w:p w14:paraId="40FE8E9F" w14:textId="5D74F01E" w:rsidR="00A12D2E" w:rsidRPr="00CB4916" w:rsidRDefault="00FC3375" w:rsidP="00A12D2E">
      <w:pPr>
        <w:jc w:val="both"/>
        <w:rPr>
          <w:rFonts w:cstheme="minorHAnsi"/>
          <w:i/>
          <w:iCs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Tiskové oznámení </w:t>
      </w:r>
      <w:r w:rsidR="00BE5432" w:rsidRPr="0025400C">
        <w:rPr>
          <w:rFonts w:cstheme="minorHAnsi"/>
          <w:sz w:val="20"/>
          <w:szCs w:val="20"/>
        </w:rPr>
        <w:t>k</w:t>
      </w:r>
      <w:r w:rsidR="00974CF4">
        <w:rPr>
          <w:rFonts w:cstheme="minorHAnsi"/>
          <w:sz w:val="20"/>
          <w:szCs w:val="20"/>
        </w:rPr>
        <w:t xml:space="preserve"> nové výstavě </w:t>
      </w:r>
      <w:r w:rsidR="00563E05" w:rsidRPr="00563E05">
        <w:rPr>
          <w:i/>
          <w:iCs/>
          <w:color w:val="000000"/>
          <w:sz w:val="20"/>
          <w:szCs w:val="20"/>
          <w:bdr w:val="none" w:sz="0" w:space="0" w:color="auto" w:frame="1"/>
        </w:rPr>
        <w:t>Moderní knižní obálky z muzejní knihovny</w:t>
      </w:r>
    </w:p>
    <w:p w14:paraId="4413CCD4" w14:textId="65B6A4CB" w:rsidR="00EC72CC" w:rsidRPr="00EC72CC" w:rsidRDefault="00EC72CC" w:rsidP="00A12D2E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Muzejní komplex Národního muzea, </w:t>
      </w:r>
      <w:r w:rsidRPr="00EC72CC">
        <w:rPr>
          <w:rFonts w:cstheme="minorHAnsi"/>
          <w:sz w:val="20"/>
          <w:szCs w:val="20"/>
          <w:shd w:val="clear" w:color="auto" w:fill="FFFFFF"/>
        </w:rPr>
        <w:t>Václavské náměstí 68, Praha 1</w:t>
      </w:r>
    </w:p>
    <w:p w14:paraId="3BB288EF" w14:textId="34BC89EA" w:rsidR="00F91E50" w:rsidRPr="0025400C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74563A">
        <w:rPr>
          <w:rFonts w:cstheme="minorHAnsi"/>
          <w:sz w:val="20"/>
          <w:szCs w:val="20"/>
        </w:rPr>
        <w:t>1</w:t>
      </w:r>
      <w:r w:rsidR="000B7D2B">
        <w:rPr>
          <w:rFonts w:cstheme="minorHAnsi"/>
          <w:sz w:val="20"/>
          <w:szCs w:val="20"/>
        </w:rPr>
        <w:t>5</w:t>
      </w:r>
      <w:r w:rsidR="00B43420" w:rsidRPr="0025400C">
        <w:rPr>
          <w:rFonts w:cstheme="minorHAnsi"/>
          <w:sz w:val="20"/>
          <w:szCs w:val="20"/>
        </w:rPr>
        <w:t xml:space="preserve">. </w:t>
      </w:r>
      <w:r w:rsidR="00563E05">
        <w:rPr>
          <w:rFonts w:cstheme="minorHAnsi"/>
          <w:sz w:val="20"/>
          <w:szCs w:val="20"/>
        </w:rPr>
        <w:t>října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F80E25" w:rsidRPr="0025400C">
        <w:rPr>
          <w:rFonts w:cstheme="minorHAnsi"/>
          <w:sz w:val="20"/>
          <w:szCs w:val="20"/>
        </w:rPr>
        <w:t>1</w:t>
      </w:r>
    </w:p>
    <w:p w14:paraId="38D1C4CB" w14:textId="5B52EF4C" w:rsidR="00776AF7" w:rsidRPr="009C312E" w:rsidRDefault="00EC72CC" w:rsidP="00885461">
      <w:pPr>
        <w:spacing w:before="240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szCs w:val="24"/>
        </w:rPr>
        <w:t>Národní muze</w:t>
      </w:r>
      <w:r w:rsidR="00C22D75">
        <w:rPr>
          <w:rFonts w:cstheme="minorHAnsi"/>
          <w:b/>
          <w:szCs w:val="24"/>
        </w:rPr>
        <w:t>um</w:t>
      </w:r>
      <w:r w:rsidR="00563E05">
        <w:rPr>
          <w:rFonts w:cstheme="minorHAnsi"/>
          <w:b/>
          <w:szCs w:val="24"/>
        </w:rPr>
        <w:t xml:space="preserve"> otevřelo 15. října ve své Historické budově novou výstavu s názvem </w:t>
      </w:r>
      <w:r w:rsidR="00563E05" w:rsidRPr="00563E05">
        <w:rPr>
          <w:b/>
          <w:bCs/>
          <w:i/>
          <w:iCs/>
          <w:color w:val="000000"/>
          <w:szCs w:val="24"/>
          <w:bdr w:val="none" w:sz="0" w:space="0" w:color="auto" w:frame="1"/>
        </w:rPr>
        <w:t>Moderní knižní obálky z muzejní knihovny</w:t>
      </w:r>
      <w:r w:rsidR="00563E05">
        <w:rPr>
          <w:rFonts w:eastAsia="Calibri" w:cstheme="minorHAnsi"/>
          <w:b/>
          <w:bCs/>
          <w:szCs w:val="24"/>
        </w:rPr>
        <w:t xml:space="preserve">, </w:t>
      </w:r>
      <w:r w:rsidR="00563E05" w:rsidRPr="00563E05">
        <w:rPr>
          <w:rFonts w:eastAsia="Calibri" w:cstheme="minorHAnsi"/>
          <w:b/>
          <w:bCs/>
          <w:szCs w:val="24"/>
        </w:rPr>
        <w:t xml:space="preserve">která </w:t>
      </w:r>
      <w:r w:rsidR="00563E05" w:rsidRPr="00563E05">
        <w:rPr>
          <w:rFonts w:ascii="Calibri" w:eastAsia="Times New Roman" w:hAnsi="Calibri" w:cs="Calibri"/>
          <w:b/>
          <w:bCs/>
          <w:szCs w:val="24"/>
          <w:lang w:eastAsia="cs-CZ"/>
        </w:rPr>
        <w:t>představí </w:t>
      </w:r>
      <w:r w:rsidR="00563E05" w:rsidRPr="00563E05">
        <w:rPr>
          <w:rFonts w:ascii="Calibri" w:eastAsia="Times New Roman" w:hAnsi="Calibri" w:cs="Calibri"/>
          <w:b/>
          <w:bCs/>
          <w:szCs w:val="24"/>
          <w:bdr w:val="none" w:sz="0" w:space="0" w:color="auto" w:frame="1"/>
          <w:lang w:eastAsia="cs-CZ"/>
        </w:rPr>
        <w:t>průřez vizuální podobou českých knižních obálek 20. století prostřednictvím sbírkových předmětů z fondů oddělení knižní kultury Knihovny Národního muzea.</w:t>
      </w:r>
      <w:r w:rsidR="00563E05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</w:t>
      </w:r>
      <w:r w:rsidR="00DC48F4" w:rsidRPr="009C312E">
        <w:rPr>
          <w:rFonts w:eastAsia="Calibri" w:cstheme="minorHAnsi"/>
          <w:b/>
          <w:bCs/>
          <w:szCs w:val="24"/>
        </w:rPr>
        <w:t>Výstava je k vidění od 1</w:t>
      </w:r>
      <w:r w:rsidR="00563E05">
        <w:rPr>
          <w:rFonts w:eastAsia="Calibri" w:cstheme="minorHAnsi"/>
          <w:b/>
          <w:bCs/>
          <w:szCs w:val="24"/>
        </w:rPr>
        <w:t>5</w:t>
      </w:r>
      <w:r w:rsidR="00DC48F4" w:rsidRPr="009C312E">
        <w:rPr>
          <w:rFonts w:eastAsia="Calibri" w:cstheme="minorHAnsi"/>
          <w:b/>
          <w:bCs/>
          <w:szCs w:val="24"/>
        </w:rPr>
        <w:t xml:space="preserve">. </w:t>
      </w:r>
      <w:r w:rsidR="00563E05">
        <w:rPr>
          <w:rFonts w:eastAsia="Calibri" w:cstheme="minorHAnsi"/>
          <w:b/>
          <w:bCs/>
          <w:szCs w:val="24"/>
        </w:rPr>
        <w:t>října</w:t>
      </w:r>
      <w:r w:rsidR="00DC48F4" w:rsidRPr="009C312E">
        <w:rPr>
          <w:rFonts w:eastAsia="Calibri" w:cstheme="minorHAnsi"/>
          <w:b/>
          <w:bCs/>
          <w:szCs w:val="24"/>
        </w:rPr>
        <w:t xml:space="preserve"> do </w:t>
      </w:r>
      <w:r w:rsidR="00563E05">
        <w:rPr>
          <w:rFonts w:eastAsia="Calibri" w:cstheme="minorHAnsi"/>
          <w:b/>
          <w:bCs/>
          <w:szCs w:val="24"/>
        </w:rPr>
        <w:t>9</w:t>
      </w:r>
      <w:r w:rsidR="00EF4A4D">
        <w:rPr>
          <w:rFonts w:eastAsia="Calibri" w:cstheme="minorHAnsi"/>
          <w:b/>
          <w:bCs/>
          <w:szCs w:val="24"/>
        </w:rPr>
        <w:t>.</w:t>
      </w:r>
      <w:r w:rsidR="006C04D6" w:rsidRPr="009C312E">
        <w:rPr>
          <w:rFonts w:eastAsia="Calibri" w:cstheme="minorHAnsi"/>
          <w:b/>
          <w:bCs/>
          <w:szCs w:val="24"/>
        </w:rPr>
        <w:t xml:space="preserve"> </w:t>
      </w:r>
      <w:r w:rsidR="00563E05">
        <w:rPr>
          <w:rFonts w:eastAsia="Calibri" w:cstheme="minorHAnsi"/>
          <w:b/>
          <w:bCs/>
          <w:szCs w:val="24"/>
        </w:rPr>
        <w:t>ledna</w:t>
      </w:r>
      <w:r w:rsidR="006C04D6" w:rsidRPr="009C312E">
        <w:rPr>
          <w:rFonts w:eastAsia="Calibri" w:cstheme="minorHAnsi"/>
          <w:b/>
          <w:bCs/>
          <w:szCs w:val="24"/>
        </w:rPr>
        <w:t xml:space="preserve"> 202</w:t>
      </w:r>
      <w:r w:rsidR="00563E05">
        <w:rPr>
          <w:rFonts w:eastAsia="Calibri" w:cstheme="minorHAnsi"/>
          <w:b/>
          <w:bCs/>
          <w:szCs w:val="24"/>
        </w:rPr>
        <w:t>2</w:t>
      </w:r>
      <w:r w:rsidR="006C04D6" w:rsidRPr="009C312E">
        <w:rPr>
          <w:rFonts w:eastAsia="Calibri" w:cstheme="minorHAnsi"/>
          <w:b/>
          <w:bCs/>
          <w:szCs w:val="24"/>
        </w:rPr>
        <w:t>.</w:t>
      </w:r>
    </w:p>
    <w:p w14:paraId="2B30B755" w14:textId="0C11194A" w:rsidR="00301C04" w:rsidRDefault="00301C04" w:rsidP="004335F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Výstava </w:t>
      </w:r>
      <w:r w:rsidRPr="00301C04">
        <w:rPr>
          <w:i/>
          <w:iCs/>
          <w:color w:val="000000"/>
          <w:szCs w:val="24"/>
          <w:bdr w:val="none" w:sz="0" w:space="0" w:color="auto" w:frame="1"/>
        </w:rPr>
        <w:t>Moderní knižní obálky z muzejní knihovny</w:t>
      </w:r>
      <w:r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u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k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azuje návštěvníkům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různé přístupy výtvarníků a výtvarnou proměnu obálek napříč jedním stoletím – 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příchozí tak mohou obdivovat 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ukázky z období přelomu 19. a 20. století, z doby mezi světovými válkami,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z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 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produkce státních nakladatelství 50. až 80. let i z produkce soukromých nakladatelů z konce 20. století.</w:t>
      </w:r>
      <w:r w:rsidR="004335F0" w:rsidRPr="007C3B24">
        <w:rPr>
          <w:rFonts w:ascii="Calibri" w:eastAsia="Times New Roman" w:hAnsi="Calibri" w:cs="Calibri"/>
          <w:b/>
          <w:bCs/>
          <w:szCs w:val="24"/>
          <w:bdr w:val="none" w:sz="0" w:space="0" w:color="auto" w:frame="1"/>
          <w:lang w:eastAsia="cs-CZ"/>
        </w:rPr>
        <w:t> 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Řada prací ze sbírek oddělení knižní kultury je originálními předlohami pro tisk obálek knih vytvořených význačnými českými výtvarníky. Prezentován</w:t>
      </w:r>
      <w:r w:rsidR="004335F0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a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js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ou například </w:t>
      </w:r>
      <w:r w:rsidR="004335F0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díla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Ondřeje Sekory, Josefa Lady, Josefa Vodrážky, Jana Rambouska, Josefa </w:t>
      </w:r>
      <w:proofErr w:type="spellStart"/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Lieslera</w:t>
      </w:r>
      <w:proofErr w:type="spellEnd"/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, Cyrila Boudy, Václava Kabáta, Jaroslava </w:t>
      </w:r>
      <w:proofErr w:type="spellStart"/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Hořánka</w:t>
      </w:r>
      <w:proofErr w:type="spellEnd"/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, Dany </w:t>
      </w:r>
      <w:proofErr w:type="spellStart"/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Puchnarové</w:t>
      </w:r>
      <w:proofErr w:type="spellEnd"/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, Václava Fialy</w:t>
      </w:r>
      <w:r w:rsidR="004335F0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a dalších. </w:t>
      </w:r>
    </w:p>
    <w:p w14:paraId="275AC54E" w14:textId="77777777" w:rsidR="00301C04" w:rsidRDefault="00301C04" w:rsidP="004335F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</w:pPr>
    </w:p>
    <w:p w14:paraId="7857E96C" w14:textId="76442470" w:rsidR="004335F0" w:rsidRPr="007C3B24" w:rsidRDefault="00301C04" w:rsidP="004335F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  <w:lang w:eastAsia="cs-CZ"/>
        </w:rPr>
      </w:pP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Příchozí se seznámí také s 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postupy práce knižních výtvarníků a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s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předtiskovou příprav</w:t>
      </w:r>
      <w:r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o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u</w:t>
      </w:r>
      <w:r w:rsidR="004335F0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 xml:space="preserve"> v době před nástupem digitalizace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. Originální předlohy knižních obálek doplní ukázky autorských tiskařských linorytových a dřevorytových štočků (matric pro tisk obálek včetně barevných soutisků) a</w:t>
      </w:r>
      <w:r w:rsidR="004335F0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 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lang w:eastAsia="cs-CZ"/>
        </w:rPr>
        <w:t>ukázky knih s obálkami výběrově odkazujícími na prezentované originální předlohy pro jejich tisk</w:t>
      </w:r>
      <w:r w:rsidR="004335F0" w:rsidRPr="007C3B2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.</w:t>
      </w:r>
    </w:p>
    <w:p w14:paraId="5FA2BA23" w14:textId="74F3B29B" w:rsidR="004335F0" w:rsidRDefault="004335F0" w:rsidP="004335F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</w:pPr>
      <w:r w:rsidRPr="007C3B24">
        <w:rPr>
          <w:rFonts w:ascii="Calibri" w:eastAsia="Times New Roman" w:hAnsi="Calibri" w:cs="Calibri"/>
          <w:b/>
          <w:bCs/>
          <w:szCs w:val="24"/>
          <w:bdr w:val="none" w:sz="0" w:space="0" w:color="auto" w:frame="1"/>
          <w:lang w:eastAsia="cs-CZ"/>
        </w:rPr>
        <w:br/>
      </w:r>
      <w:r w:rsidRPr="007C3B2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Výstava je určena dospělému i dětskému návštěvníkovi a zaměřena je jak na odbornou, tak </w:t>
      </w:r>
      <w:r w:rsidR="00301C0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na </w:t>
      </w:r>
      <w:r w:rsidRPr="007C3B2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laickou veřejnost. Odborná veřejnost ocení zejména možnost prohlížet originály</w:t>
      </w: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historických</w:t>
      </w:r>
      <w:r w:rsidRPr="007C3B2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knižních prací, opatřen</w:t>
      </w: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>ých často</w:t>
      </w:r>
      <w:r w:rsidRPr="007C3B2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technickými pokyny</w:t>
      </w: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pro výrobu</w:t>
      </w:r>
      <w:r w:rsidRPr="007C3B2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a</w:t>
      </w:r>
      <w:r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pracovními</w:t>
      </w:r>
      <w:r w:rsidRPr="007C3B24"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  <w:t xml:space="preserve"> poznámkami. Širší veřejnost může nalézt kromě vizuálně atraktivních exponátů řadu originálů obálek knih ze své oblíbené volnočasové či naopak povinné četby.</w:t>
      </w:r>
    </w:p>
    <w:p w14:paraId="56010ED6" w14:textId="01A30495" w:rsidR="00301C04" w:rsidRDefault="00301C04" w:rsidP="004335F0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</w:pPr>
    </w:p>
    <w:p w14:paraId="2F3E9BBD" w14:textId="77777777" w:rsidR="009C312E" w:rsidRDefault="009C312E" w:rsidP="00885461">
      <w:pPr>
        <w:jc w:val="both"/>
        <w:rPr>
          <w:rFonts w:cstheme="minorHAnsi"/>
          <w:bCs/>
          <w:color w:val="000000"/>
          <w:szCs w:val="24"/>
        </w:rPr>
      </w:pPr>
    </w:p>
    <w:p w14:paraId="1DB6DA4F" w14:textId="315BF123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0402FDEC" w14:textId="77777777" w:rsidR="00885461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642FED7E" w14:textId="77777777" w:rsidR="00885461" w:rsidRPr="00261ED4" w:rsidRDefault="00885461" w:rsidP="00885461">
      <w:pPr>
        <w:spacing w:before="240"/>
        <w:jc w:val="both"/>
        <w:rPr>
          <w:szCs w:val="24"/>
        </w:rPr>
      </w:pPr>
    </w:p>
    <w:sectPr w:rsidR="00885461" w:rsidRPr="00261ED4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62F0D" w14:textId="77777777" w:rsidR="0093175E" w:rsidRDefault="0093175E" w:rsidP="006F2CD0">
      <w:pPr>
        <w:spacing w:after="0" w:line="240" w:lineRule="auto"/>
      </w:pPr>
      <w:r>
        <w:separator/>
      </w:r>
    </w:p>
  </w:endnote>
  <w:endnote w:type="continuationSeparator" w:id="0">
    <w:p w14:paraId="27149F16" w14:textId="77777777" w:rsidR="0093175E" w:rsidRDefault="0093175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2454F" w14:textId="77777777" w:rsidR="0093175E" w:rsidRDefault="0093175E" w:rsidP="006F2CD0">
      <w:pPr>
        <w:spacing w:after="0" w:line="240" w:lineRule="auto"/>
      </w:pPr>
      <w:r>
        <w:separator/>
      </w:r>
    </w:p>
  </w:footnote>
  <w:footnote w:type="continuationSeparator" w:id="0">
    <w:p w14:paraId="208FDE0B" w14:textId="77777777" w:rsidR="0093175E" w:rsidRDefault="0093175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50AF0"/>
    <w:rsid w:val="000522EE"/>
    <w:rsid w:val="0009326F"/>
    <w:rsid w:val="000A34A0"/>
    <w:rsid w:val="000B18BA"/>
    <w:rsid w:val="000B7D2B"/>
    <w:rsid w:val="000E794C"/>
    <w:rsid w:val="000F34A7"/>
    <w:rsid w:val="00142BF9"/>
    <w:rsid w:val="00156C0C"/>
    <w:rsid w:val="0016674D"/>
    <w:rsid w:val="0019486E"/>
    <w:rsid w:val="001B4282"/>
    <w:rsid w:val="001E22CF"/>
    <w:rsid w:val="001E234A"/>
    <w:rsid w:val="0025400C"/>
    <w:rsid w:val="00261ED4"/>
    <w:rsid w:val="00273F33"/>
    <w:rsid w:val="00301C04"/>
    <w:rsid w:val="00325C3C"/>
    <w:rsid w:val="00333FDE"/>
    <w:rsid w:val="003359AD"/>
    <w:rsid w:val="00366F95"/>
    <w:rsid w:val="00395329"/>
    <w:rsid w:val="00396CA8"/>
    <w:rsid w:val="004335F0"/>
    <w:rsid w:val="00481AAD"/>
    <w:rsid w:val="004A1B15"/>
    <w:rsid w:val="00515245"/>
    <w:rsid w:val="0051662E"/>
    <w:rsid w:val="00522A51"/>
    <w:rsid w:val="005407E9"/>
    <w:rsid w:val="00563338"/>
    <w:rsid w:val="00563E05"/>
    <w:rsid w:val="006418C2"/>
    <w:rsid w:val="006C04D6"/>
    <w:rsid w:val="006F2CD0"/>
    <w:rsid w:val="006F4D18"/>
    <w:rsid w:val="006F698B"/>
    <w:rsid w:val="0074563A"/>
    <w:rsid w:val="00776AF7"/>
    <w:rsid w:val="00776D4D"/>
    <w:rsid w:val="00783F32"/>
    <w:rsid w:val="00784513"/>
    <w:rsid w:val="007921C6"/>
    <w:rsid w:val="00794C3F"/>
    <w:rsid w:val="007E70CF"/>
    <w:rsid w:val="008022AC"/>
    <w:rsid w:val="00833A48"/>
    <w:rsid w:val="00852EF4"/>
    <w:rsid w:val="00885461"/>
    <w:rsid w:val="008E4545"/>
    <w:rsid w:val="0092272D"/>
    <w:rsid w:val="0093175E"/>
    <w:rsid w:val="00932F2E"/>
    <w:rsid w:val="00974CF4"/>
    <w:rsid w:val="009801B1"/>
    <w:rsid w:val="00987D4F"/>
    <w:rsid w:val="009A1DD3"/>
    <w:rsid w:val="009A6E5F"/>
    <w:rsid w:val="009C312E"/>
    <w:rsid w:val="009E2BB3"/>
    <w:rsid w:val="00A12D2E"/>
    <w:rsid w:val="00A3425C"/>
    <w:rsid w:val="00A53551"/>
    <w:rsid w:val="00A96E08"/>
    <w:rsid w:val="00AA11E2"/>
    <w:rsid w:val="00AC1196"/>
    <w:rsid w:val="00B0423C"/>
    <w:rsid w:val="00B33D1E"/>
    <w:rsid w:val="00B43420"/>
    <w:rsid w:val="00B51BBB"/>
    <w:rsid w:val="00BD470C"/>
    <w:rsid w:val="00BE08E3"/>
    <w:rsid w:val="00BE5432"/>
    <w:rsid w:val="00C01DFE"/>
    <w:rsid w:val="00C041BB"/>
    <w:rsid w:val="00C1312F"/>
    <w:rsid w:val="00C16041"/>
    <w:rsid w:val="00C22D75"/>
    <w:rsid w:val="00C27464"/>
    <w:rsid w:val="00CB4916"/>
    <w:rsid w:val="00D03CB8"/>
    <w:rsid w:val="00D4263F"/>
    <w:rsid w:val="00DC48F4"/>
    <w:rsid w:val="00DD4994"/>
    <w:rsid w:val="00DD4DE9"/>
    <w:rsid w:val="00E3148A"/>
    <w:rsid w:val="00E948B1"/>
    <w:rsid w:val="00E969A4"/>
    <w:rsid w:val="00EC72CC"/>
    <w:rsid w:val="00ED022C"/>
    <w:rsid w:val="00EF4A4D"/>
    <w:rsid w:val="00EF7252"/>
    <w:rsid w:val="00F415CB"/>
    <w:rsid w:val="00F44C06"/>
    <w:rsid w:val="00F5336A"/>
    <w:rsid w:val="00F73E63"/>
    <w:rsid w:val="00F80E25"/>
    <w:rsid w:val="00F81D78"/>
    <w:rsid w:val="00F91E50"/>
    <w:rsid w:val="00FA08CC"/>
    <w:rsid w:val="00FC0C91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B126C-5891-4CB7-89C1-E5A03538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2018-03-05T11:55:00Z</cp:lastPrinted>
  <dcterms:created xsi:type="dcterms:W3CDTF">2021-10-06T12:58:00Z</dcterms:created>
  <dcterms:modified xsi:type="dcterms:W3CDTF">2021-10-06T12:58:00Z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