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3056" w14:textId="15511864" w:rsidR="00FF17A7" w:rsidRPr="0077528B" w:rsidRDefault="005B6E9A" w:rsidP="00C9266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Vzácné artefakty ze s</w:t>
      </w:r>
      <w:r w:rsidR="00FF17A7" w:rsidRPr="0077528B">
        <w:rPr>
          <w:b/>
          <w:sz w:val="32"/>
          <w:szCs w:val="32"/>
        </w:rPr>
        <w:t>větov</w:t>
      </w:r>
      <w:r>
        <w:rPr>
          <w:b/>
          <w:sz w:val="32"/>
          <w:szCs w:val="32"/>
        </w:rPr>
        <w:t>é</w:t>
      </w:r>
      <w:r w:rsidR="00FF17A7" w:rsidRPr="0077528B">
        <w:rPr>
          <w:b/>
          <w:sz w:val="32"/>
          <w:szCs w:val="32"/>
        </w:rPr>
        <w:t xml:space="preserve"> výstav</w:t>
      </w:r>
      <w:r>
        <w:rPr>
          <w:b/>
          <w:sz w:val="32"/>
          <w:szCs w:val="32"/>
        </w:rPr>
        <w:t>y</w:t>
      </w:r>
      <w:r w:rsidR="00FF17A7" w:rsidRPr="0077528B">
        <w:rPr>
          <w:b/>
          <w:sz w:val="32"/>
          <w:szCs w:val="32"/>
        </w:rPr>
        <w:t xml:space="preserve"> </w:t>
      </w:r>
      <w:r w:rsidR="00FF17A7" w:rsidRPr="006908A4">
        <w:rPr>
          <w:b/>
          <w:i/>
          <w:iCs/>
          <w:sz w:val="32"/>
          <w:szCs w:val="32"/>
        </w:rPr>
        <w:t>Sluneční králové</w:t>
      </w:r>
      <w:r>
        <w:rPr>
          <w:b/>
          <w:sz w:val="32"/>
          <w:szCs w:val="32"/>
        </w:rPr>
        <w:t xml:space="preserve"> se vydaly na</w:t>
      </w:r>
      <w:r w:rsidR="006908A4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cestu domů</w:t>
      </w:r>
    </w:p>
    <w:p w14:paraId="76224570" w14:textId="73FDA5E9" w:rsidR="00C9266D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D761B2">
        <w:rPr>
          <w:bCs/>
          <w:sz w:val="20"/>
          <w:szCs w:val="20"/>
        </w:rPr>
        <w:t xml:space="preserve"> ukončení výstavy</w:t>
      </w:r>
      <w:r w:rsidR="00790A5F">
        <w:rPr>
          <w:bCs/>
          <w:sz w:val="20"/>
          <w:szCs w:val="20"/>
        </w:rPr>
        <w:t xml:space="preserve"> </w:t>
      </w:r>
      <w:r w:rsidR="00790A5F" w:rsidRPr="005243E4">
        <w:rPr>
          <w:bCs/>
          <w:i/>
          <w:iCs/>
          <w:sz w:val="20"/>
          <w:szCs w:val="20"/>
        </w:rPr>
        <w:t>Sluneční králové</w:t>
      </w:r>
    </w:p>
    <w:p w14:paraId="7AC57E0F" w14:textId="073FD9B9" w:rsidR="00A92E43" w:rsidRDefault="00790A5F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</w:t>
      </w:r>
      <w:r w:rsidR="00CF1E71">
        <w:rPr>
          <w:bCs/>
          <w:sz w:val="20"/>
          <w:szCs w:val="20"/>
        </w:rPr>
        <w:t xml:space="preserve">, </w:t>
      </w:r>
      <w:r w:rsidR="00A63674">
        <w:rPr>
          <w:bCs/>
          <w:sz w:val="20"/>
          <w:szCs w:val="20"/>
        </w:rPr>
        <w:t>Václavské náměstí 68</w:t>
      </w:r>
      <w:r w:rsidR="00A92E43">
        <w:rPr>
          <w:bCs/>
          <w:sz w:val="20"/>
          <w:szCs w:val="20"/>
        </w:rPr>
        <w:t>, Praha 1</w:t>
      </w:r>
    </w:p>
    <w:p w14:paraId="6916D6BF" w14:textId="0959E25D" w:rsidR="00C9266D" w:rsidRPr="003808CE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2B4A7D">
        <w:rPr>
          <w:bCs/>
          <w:sz w:val="20"/>
          <w:szCs w:val="20"/>
        </w:rPr>
        <w:t>1</w:t>
      </w:r>
      <w:r w:rsidR="005B6E9A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. </w:t>
      </w:r>
      <w:r w:rsidR="00D761B2">
        <w:rPr>
          <w:bCs/>
          <w:sz w:val="20"/>
          <w:szCs w:val="20"/>
        </w:rPr>
        <w:t>ří</w:t>
      </w:r>
      <w:r w:rsidR="005B6E9A">
        <w:rPr>
          <w:bCs/>
          <w:sz w:val="20"/>
          <w:szCs w:val="20"/>
        </w:rPr>
        <w:t>jna</w:t>
      </w:r>
      <w:r>
        <w:rPr>
          <w:bCs/>
          <w:sz w:val="20"/>
          <w:szCs w:val="20"/>
        </w:rPr>
        <w:t xml:space="preserve"> 2021</w:t>
      </w:r>
    </w:p>
    <w:p w14:paraId="2C394923" w14:textId="6B80CD27" w:rsidR="00C9266D" w:rsidRPr="00F47DF0" w:rsidRDefault="00BC7CD4" w:rsidP="00C9266D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Jedinečný výstavní projekt </w:t>
      </w:r>
      <w:r w:rsidR="00B02EEF">
        <w:rPr>
          <w:rFonts w:cstheme="minorHAnsi"/>
          <w:b/>
        </w:rPr>
        <w:t xml:space="preserve">s názvem </w:t>
      </w:r>
      <w:r w:rsidR="00B02EEF" w:rsidRPr="00440BB2">
        <w:rPr>
          <w:rFonts w:cstheme="minorHAnsi"/>
          <w:b/>
          <w:i/>
          <w:iCs/>
        </w:rPr>
        <w:t>Sluneční králové</w:t>
      </w:r>
      <w:r w:rsidR="00B02EEF">
        <w:rPr>
          <w:rFonts w:cstheme="minorHAnsi"/>
          <w:b/>
        </w:rPr>
        <w:t xml:space="preserve"> po více než roce skončil</w:t>
      </w:r>
      <w:r w:rsidR="003B359D">
        <w:rPr>
          <w:rFonts w:cstheme="minorHAnsi"/>
          <w:b/>
        </w:rPr>
        <w:t xml:space="preserve"> </w:t>
      </w:r>
      <w:r w:rsidR="00B854FA">
        <w:rPr>
          <w:rFonts w:cstheme="minorHAnsi"/>
          <w:b/>
        </w:rPr>
        <w:t xml:space="preserve">společně </w:t>
      </w:r>
      <w:r w:rsidR="003B359D">
        <w:rPr>
          <w:rFonts w:cstheme="minorHAnsi"/>
          <w:b/>
        </w:rPr>
        <w:t>s posledním zářijovým dnem</w:t>
      </w:r>
      <w:r w:rsidR="009F662B" w:rsidRPr="00D761B2">
        <w:rPr>
          <w:rFonts w:cstheme="minorHAnsi"/>
          <w:b/>
        </w:rPr>
        <w:t>.</w:t>
      </w:r>
      <w:r w:rsidR="00B02EEF">
        <w:rPr>
          <w:rFonts w:cstheme="minorHAnsi"/>
          <w:b/>
        </w:rPr>
        <w:t xml:space="preserve"> </w:t>
      </w:r>
      <w:r w:rsidR="001F5019">
        <w:rPr>
          <w:rFonts w:cstheme="minorHAnsi"/>
          <w:b/>
        </w:rPr>
        <w:t>Za 216 dn</w:t>
      </w:r>
      <w:r w:rsidR="005243E4">
        <w:rPr>
          <w:rFonts w:cstheme="minorHAnsi"/>
          <w:b/>
        </w:rPr>
        <w:t>í</w:t>
      </w:r>
      <w:r w:rsidR="001F5019">
        <w:rPr>
          <w:rFonts w:cstheme="minorHAnsi"/>
          <w:b/>
        </w:rPr>
        <w:t>, kdy byla výstava otevřena pro veřejnost</w:t>
      </w:r>
      <w:r w:rsidR="005243E4">
        <w:rPr>
          <w:rFonts w:cstheme="minorHAnsi"/>
          <w:b/>
        </w:rPr>
        <w:t>,</w:t>
      </w:r>
      <w:r w:rsidR="001F5019">
        <w:rPr>
          <w:rFonts w:cstheme="minorHAnsi"/>
          <w:b/>
        </w:rPr>
        <w:t xml:space="preserve"> ji </w:t>
      </w:r>
      <w:r w:rsidR="00F234D4">
        <w:rPr>
          <w:rFonts w:cstheme="minorHAnsi"/>
          <w:b/>
        </w:rPr>
        <w:t>z</w:t>
      </w:r>
      <w:r w:rsidR="001F5019">
        <w:rPr>
          <w:rFonts w:cstheme="minorHAnsi"/>
          <w:b/>
        </w:rPr>
        <w:t>hlédlo téměř 120</w:t>
      </w:r>
      <w:r w:rsidR="00576C60">
        <w:rPr>
          <w:rFonts w:cstheme="minorHAnsi"/>
          <w:b/>
        </w:rPr>
        <w:t xml:space="preserve"> </w:t>
      </w:r>
      <w:r w:rsidR="001F5019">
        <w:rPr>
          <w:rFonts w:cstheme="minorHAnsi"/>
          <w:b/>
        </w:rPr>
        <w:t xml:space="preserve">000 návštěvníků. </w:t>
      </w:r>
      <w:r w:rsidR="003B359D">
        <w:rPr>
          <w:rFonts w:cstheme="minorHAnsi"/>
          <w:b/>
        </w:rPr>
        <w:t>V</w:t>
      </w:r>
      <w:r w:rsidR="00B02EEF">
        <w:rPr>
          <w:rFonts w:cstheme="minorHAnsi"/>
          <w:b/>
        </w:rPr>
        <w:t xml:space="preserve">zácné originální artefakty, které zde byly celou dobu vystaveny, však </w:t>
      </w:r>
      <w:r w:rsidR="00EB0ABF">
        <w:rPr>
          <w:rFonts w:cstheme="minorHAnsi"/>
          <w:b/>
        </w:rPr>
        <w:t>ještě ček</w:t>
      </w:r>
      <w:r w:rsidR="003B359D">
        <w:rPr>
          <w:rFonts w:cstheme="minorHAnsi"/>
          <w:b/>
        </w:rPr>
        <w:t>ala</w:t>
      </w:r>
      <w:r w:rsidR="00EB0ABF">
        <w:rPr>
          <w:rFonts w:cstheme="minorHAnsi"/>
          <w:b/>
        </w:rPr>
        <w:t xml:space="preserve"> dlouhá cesta zpět do muzeí, odkud pocházejí. Za přísných bezpečnostních podmínek </w:t>
      </w:r>
      <w:r w:rsidR="00E66DBC">
        <w:rPr>
          <w:rFonts w:cstheme="minorHAnsi"/>
          <w:b/>
        </w:rPr>
        <w:t xml:space="preserve">byly předměty zabaleny a </w:t>
      </w:r>
      <w:r w:rsidR="003B13F7">
        <w:rPr>
          <w:rFonts w:cstheme="minorHAnsi"/>
          <w:b/>
        </w:rPr>
        <w:t>pod</w:t>
      </w:r>
      <w:r w:rsidR="00E66DBC">
        <w:rPr>
          <w:rFonts w:cstheme="minorHAnsi"/>
          <w:b/>
        </w:rPr>
        <w:t xml:space="preserve"> dohled</w:t>
      </w:r>
      <w:r w:rsidR="003B13F7">
        <w:rPr>
          <w:rFonts w:cstheme="minorHAnsi"/>
          <w:b/>
        </w:rPr>
        <w:t>em</w:t>
      </w:r>
      <w:r w:rsidR="00E66DBC">
        <w:rPr>
          <w:rFonts w:cstheme="minorHAnsi"/>
          <w:b/>
        </w:rPr>
        <w:t xml:space="preserve"> Policie ČR</w:t>
      </w:r>
      <w:r w:rsidR="003B359D">
        <w:rPr>
          <w:rFonts w:cstheme="minorHAnsi"/>
          <w:b/>
        </w:rPr>
        <w:t xml:space="preserve"> odjely</w:t>
      </w:r>
      <w:r w:rsidR="00E66DBC">
        <w:rPr>
          <w:rFonts w:cstheme="minorHAnsi"/>
          <w:b/>
        </w:rPr>
        <w:t xml:space="preserve"> zpět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do</w:t>
      </w:r>
      <w:r w:rsidR="00E66DBC" w:rsidRPr="00E66DBC">
        <w:rPr>
          <w:rFonts w:cstheme="minorHAnsi"/>
          <w:b/>
          <w:bCs/>
          <w:color w:val="000000"/>
          <w:shd w:val="clear" w:color="auto" w:fill="FFFFFF"/>
        </w:rPr>
        <w:t xml:space="preserve"> muzeí v Berlíně, Lipsku, Hannoveru, Heidelbergu, </w:t>
      </w:r>
      <w:proofErr w:type="spellStart"/>
      <w:r w:rsidR="00E66DBC" w:rsidRPr="00E66DBC">
        <w:rPr>
          <w:rFonts w:cstheme="minorHAnsi"/>
          <w:b/>
          <w:bCs/>
          <w:color w:val="000000"/>
          <w:shd w:val="clear" w:color="auto" w:fill="FFFFFF"/>
        </w:rPr>
        <w:t>Hildesheimu</w:t>
      </w:r>
      <w:proofErr w:type="spellEnd"/>
      <w:r w:rsidR="00E66DBC" w:rsidRPr="00E66DBC">
        <w:rPr>
          <w:rFonts w:cstheme="minorHAnsi"/>
          <w:b/>
          <w:bCs/>
          <w:color w:val="000000"/>
          <w:shd w:val="clear" w:color="auto" w:fill="FFFFFF"/>
        </w:rPr>
        <w:t xml:space="preserve"> a Frankfurtu nad</w:t>
      </w:r>
      <w:r w:rsidR="005243E4">
        <w:rPr>
          <w:rFonts w:cstheme="minorHAnsi"/>
          <w:b/>
          <w:bCs/>
          <w:color w:val="000000"/>
          <w:shd w:val="clear" w:color="auto" w:fill="FFFFFF"/>
        </w:rPr>
        <w:t> </w:t>
      </w:r>
      <w:r w:rsidR="00E66DBC" w:rsidRPr="00E66DBC">
        <w:rPr>
          <w:rFonts w:cstheme="minorHAnsi"/>
          <w:b/>
          <w:bCs/>
          <w:color w:val="000000"/>
          <w:shd w:val="clear" w:color="auto" w:fill="FFFFFF"/>
        </w:rPr>
        <w:t>Mohanem.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Nakone</w:t>
      </w:r>
      <w:r w:rsidR="003B13F7">
        <w:rPr>
          <w:rFonts w:cstheme="minorHAnsi"/>
          <w:b/>
          <w:bCs/>
          <w:color w:val="000000"/>
          <w:shd w:val="clear" w:color="auto" w:fill="FFFFFF"/>
        </w:rPr>
        <w:t>c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v úterý 12. </w:t>
      </w:r>
      <w:r w:rsidR="0062122C">
        <w:rPr>
          <w:rFonts w:cstheme="minorHAnsi"/>
          <w:b/>
          <w:bCs/>
          <w:color w:val="000000"/>
          <w:shd w:val="clear" w:color="auto" w:fill="FFFFFF"/>
        </w:rPr>
        <w:t>října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večer </w:t>
      </w:r>
      <w:r w:rsidR="003B13F7">
        <w:rPr>
          <w:rFonts w:cstheme="minorHAnsi"/>
          <w:b/>
          <w:bCs/>
          <w:color w:val="000000"/>
          <w:shd w:val="clear" w:color="auto" w:fill="FFFFFF"/>
        </w:rPr>
        <w:t>započal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poslední</w:t>
      </w:r>
      <w:r w:rsidR="003B13F7">
        <w:rPr>
          <w:rFonts w:cstheme="minorHAnsi"/>
          <w:b/>
          <w:bCs/>
          <w:color w:val="000000"/>
          <w:shd w:val="clear" w:color="auto" w:fill="FFFFFF"/>
        </w:rPr>
        <w:t xml:space="preserve"> 48 hodin trvající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3B13F7">
        <w:rPr>
          <w:rFonts w:cstheme="minorHAnsi"/>
          <w:b/>
          <w:bCs/>
          <w:color w:val="000000"/>
          <w:shd w:val="clear" w:color="auto" w:fill="FFFFFF"/>
        </w:rPr>
        <w:t>pře</w:t>
      </w:r>
      <w:r w:rsidR="003B359D">
        <w:rPr>
          <w:rFonts w:cstheme="minorHAnsi"/>
          <w:b/>
          <w:bCs/>
          <w:color w:val="000000"/>
          <w:shd w:val="clear" w:color="auto" w:fill="FFFFFF"/>
        </w:rPr>
        <w:t>voz předmětů</w:t>
      </w:r>
      <w:r w:rsidR="0062122C">
        <w:rPr>
          <w:rFonts w:cstheme="minorHAnsi"/>
          <w:b/>
          <w:bCs/>
          <w:color w:val="000000"/>
          <w:shd w:val="clear" w:color="auto" w:fill="FFFFFF"/>
        </w:rPr>
        <w:t>,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62122C">
        <w:rPr>
          <w:rFonts w:cstheme="minorHAnsi"/>
          <w:b/>
          <w:bCs/>
          <w:color w:val="000000"/>
          <w:shd w:val="clear" w:color="auto" w:fill="FFFFFF"/>
        </w:rPr>
        <w:t xml:space="preserve">a to </w:t>
      </w:r>
      <w:r w:rsidR="003B359D">
        <w:rPr>
          <w:rFonts w:cstheme="minorHAnsi"/>
          <w:b/>
          <w:bCs/>
          <w:color w:val="000000"/>
          <w:shd w:val="clear" w:color="auto" w:fill="FFFFFF"/>
        </w:rPr>
        <w:t>do</w:t>
      </w:r>
      <w:r w:rsidR="003B359D">
        <w:rPr>
          <w:rFonts w:cstheme="minorHAnsi"/>
          <w:b/>
        </w:rPr>
        <w:t> </w:t>
      </w:r>
      <w:r w:rsidR="003B359D" w:rsidRPr="00E66DBC">
        <w:rPr>
          <w:rFonts w:cstheme="minorHAnsi"/>
          <w:b/>
          <w:bCs/>
          <w:color w:val="000000"/>
          <w:shd w:val="clear" w:color="auto" w:fill="FFFFFF"/>
        </w:rPr>
        <w:t>Egyptského muzea v</w:t>
      </w:r>
      <w:r w:rsidR="003B359D">
        <w:rPr>
          <w:rFonts w:cstheme="minorHAnsi"/>
          <w:b/>
          <w:bCs/>
          <w:color w:val="000000"/>
          <w:shd w:val="clear" w:color="auto" w:fill="FFFFFF"/>
        </w:rPr>
        <w:t> </w:t>
      </w:r>
      <w:r w:rsidR="003B359D" w:rsidRPr="00E66DBC">
        <w:rPr>
          <w:rFonts w:cstheme="minorHAnsi"/>
          <w:b/>
          <w:bCs/>
          <w:color w:val="000000"/>
          <w:shd w:val="clear" w:color="auto" w:fill="FFFFFF"/>
        </w:rPr>
        <w:t>Káhiře</w:t>
      </w:r>
      <w:r w:rsidR="003B359D">
        <w:rPr>
          <w:rFonts w:cstheme="minorHAnsi"/>
          <w:b/>
          <w:bCs/>
          <w:color w:val="000000"/>
          <w:shd w:val="clear" w:color="auto" w:fill="FFFFFF"/>
        </w:rPr>
        <w:t xml:space="preserve"> a</w:t>
      </w:r>
      <w:r w:rsidR="003B359D" w:rsidRPr="00E66DBC">
        <w:rPr>
          <w:rFonts w:cstheme="minorHAnsi"/>
          <w:b/>
          <w:bCs/>
          <w:color w:val="000000"/>
          <w:shd w:val="clear" w:color="auto" w:fill="FFFFFF"/>
        </w:rPr>
        <w:t> Velkého egyptského muzea v</w:t>
      </w:r>
      <w:r w:rsidR="003B359D">
        <w:rPr>
          <w:rFonts w:cstheme="minorHAnsi"/>
          <w:b/>
          <w:bCs/>
          <w:color w:val="000000"/>
          <w:shd w:val="clear" w:color="auto" w:fill="FFFFFF"/>
        </w:rPr>
        <w:t> </w:t>
      </w:r>
      <w:r w:rsidR="003B359D" w:rsidRPr="00E66DBC">
        <w:rPr>
          <w:rFonts w:cstheme="minorHAnsi"/>
          <w:b/>
          <w:bCs/>
          <w:color w:val="000000"/>
          <w:shd w:val="clear" w:color="auto" w:fill="FFFFFF"/>
        </w:rPr>
        <w:t>Gíze</w:t>
      </w:r>
      <w:r w:rsidR="003B359D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023C0CB9" w14:textId="67F378CC" w:rsidR="005243E4" w:rsidRPr="005243E4" w:rsidRDefault="003B13F7" w:rsidP="005243E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Během jediného týdne se podařilo deinstalovat a zabalit úctyhodných 10 tun sbírkových předmětů. Egyptské artefakty převážel</w:t>
      </w:r>
      <w:r w:rsidR="005243E4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y</w:t>
      </w: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 dva nákladní automobily a na jejich bezpečný přesun dohlížel</w:t>
      </w:r>
      <w:r w:rsidR="00B854FA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y</w:t>
      </w: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 nejen </w:t>
      </w:r>
      <w:r w:rsidR="00B854FA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 xml:space="preserve">bezpečnostní složky </w:t>
      </w:r>
      <w:r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Policie ČR a tým kurátorů Národního muzea, ale také přímo egyptský kurátor, restaurátor a bezpečnostní doprovod.</w:t>
      </w:r>
      <w:r w:rsidR="005243E4" w:rsidRPr="005243E4">
        <w:rPr>
          <w:rFonts w:ascii="Calibri" w:hAnsi="Calibri" w:cs="Calibri"/>
          <w:color w:val="000000"/>
        </w:rPr>
        <w:t xml:space="preserve"> 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Ve Velkém egyptském muzeu</w:t>
      </w:r>
      <w:r w:rsid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v Gíze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bude </w:t>
      </w:r>
      <w:r w:rsid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nyní z těchto předmětů 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vystaven soubor devíti vápencových soch pocházející z</w:t>
      </w:r>
      <w:r w:rsidR="005243E4">
        <w:rPr>
          <w:rFonts w:ascii="Calibri" w:eastAsia="Times New Roman" w:hAnsi="Calibri" w:cs="Calibri"/>
          <w:color w:val="000000"/>
          <w:szCs w:val="24"/>
          <w:lang w:eastAsia="cs-CZ"/>
        </w:rPr>
        <w:t> 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hrobky princezny </w:t>
      </w:r>
      <w:proofErr w:type="spellStart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Šeretnebtej</w:t>
      </w:r>
      <w:proofErr w:type="spellEnd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, dcery slunečního krále </w:t>
      </w:r>
      <w:proofErr w:type="spellStart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Niuserrea</w:t>
      </w:r>
      <w:proofErr w:type="spellEnd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, a jejích příbuzných. Nejvýznamnější </w:t>
      </w:r>
      <w:r w:rsid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z nich 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je</w:t>
      </w:r>
      <w:r w:rsid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unikátní socha princezny </w:t>
      </w:r>
      <w:proofErr w:type="spellStart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Šeretnebtej</w:t>
      </w:r>
      <w:proofErr w:type="spellEnd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s</w:t>
      </w:r>
      <w:r w:rsidR="008E70B0">
        <w:rPr>
          <w:rFonts w:ascii="Calibri" w:eastAsia="Times New Roman" w:hAnsi="Calibri" w:cs="Calibri"/>
          <w:color w:val="000000"/>
          <w:szCs w:val="24"/>
          <w:lang w:eastAsia="cs-CZ"/>
        </w:rPr>
        <w:t>e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synem.</w:t>
      </w:r>
      <w:r w:rsid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Další předmět, který je určený pro Velké egyptské muzeum</w:t>
      </w:r>
      <w:r w:rsidR="008E70B0">
        <w:rPr>
          <w:rFonts w:ascii="Calibri" w:eastAsia="Times New Roman" w:hAnsi="Calibri" w:cs="Calibri"/>
          <w:color w:val="000000"/>
          <w:szCs w:val="24"/>
          <w:lang w:eastAsia="cs-CZ"/>
        </w:rPr>
        <w:t>,</w:t>
      </w:r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je oltář pro hodnostáře </w:t>
      </w:r>
      <w:proofErr w:type="spellStart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>Sanchuptaha</w:t>
      </w:r>
      <w:proofErr w:type="spellEnd"/>
      <w:r w:rsidR="005243E4" w:rsidRPr="005243E4">
        <w:rPr>
          <w:rFonts w:ascii="Calibri" w:eastAsia="Times New Roman" w:hAnsi="Calibri" w:cs="Calibri"/>
          <w:color w:val="000000"/>
          <w:szCs w:val="24"/>
          <w:lang w:eastAsia="cs-CZ"/>
        </w:rPr>
        <w:t xml:space="preserve"> z druhé poloviny Staré říše.</w:t>
      </w:r>
    </w:p>
    <w:p w14:paraId="15889A60" w14:textId="2399AAA6" w:rsidR="0077528B" w:rsidRDefault="0077528B" w:rsidP="0077528B">
      <w:pPr>
        <w:pStyle w:val="Normlnweb"/>
        <w:spacing w:before="100" w:after="100"/>
        <w:jc w:val="both"/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</w:pP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„Výstava Sluneční králové </w:t>
      </w:r>
      <w:r w:rsidR="003B359D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byla</w:t>
      </w:r>
      <w:r w:rsidR="00AD6B7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pro Národní muzeum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jedn</w:t>
      </w:r>
      <w:r w:rsidR="00AD6B7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ou</w:t>
      </w:r>
      <w:r w:rsidRPr="0077528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z</w:t>
      </w:r>
      <w:r w:rsidR="00AD6B7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 </w:t>
      </w:r>
      <w:r w:rsidR="0086124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nejvýznamnějších</w:t>
      </w:r>
      <w:r w:rsidR="00AD6B7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 ve své historii. Jednalo se o skutečně unikátní projekt světového formátu, který navíc prohloubil pozitivní vztahy mezi Národním muzeem a zahraničními zapůjčiteli</w:t>
      </w:r>
      <w:r w:rsidR="00D568C0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. Národní muzeum však již nyní jedná a připravuje další významné mezinárodní projekty, které by rádo v následujících letech přivezlo do Prahy</w:t>
      </w:r>
      <w:r w:rsidR="008E70B0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>,</w:t>
      </w:r>
      <w:r w:rsidR="00C4297B">
        <w:rPr>
          <w:rFonts w:asciiTheme="minorHAnsi" w:eastAsiaTheme="minorEastAsia" w:hAnsiTheme="minorHAnsi" w:cstheme="minorHAnsi"/>
          <w:i/>
          <w:iCs/>
          <w:color w:val="000000"/>
          <w:szCs w:val="21"/>
          <w:shd w:val="clear" w:color="auto" w:fill="FFFFFF"/>
          <w:lang w:eastAsia="en-US"/>
        </w:rPr>
        <w:t xml:space="preserve">“ </w:t>
      </w:r>
      <w:r w:rsidR="0086124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ř</w:t>
      </w:r>
      <w:r w:rsidRPr="0077528B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íká generální ředitel Národního muzea Michal Lukeš</w:t>
      </w:r>
      <w:r w:rsidR="0095550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.</w:t>
      </w:r>
    </w:p>
    <w:p w14:paraId="0F11E58D" w14:textId="4CCFA217" w:rsidR="0008486A" w:rsidRDefault="0008486A" w:rsidP="0008486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2614B2">
        <w:rPr>
          <w:rFonts w:ascii="Calibri" w:eastAsia="Times New Roman" w:hAnsi="Calibri" w:cs="Calibri"/>
          <w:i/>
          <w:color w:val="000000"/>
          <w:szCs w:val="24"/>
          <w:lang w:eastAsia="cs-CZ"/>
        </w:rPr>
        <w:t>„Jsem nesmírně rád, že se Univerzita Karlova mohla podílet na organizaci výstavy Sluneční králové, která dokazuje světovou kvalitu českých mezioborových výzkumů v</w:t>
      </w:r>
      <w:r w:rsidR="00440BB2">
        <w:rPr>
          <w:rFonts w:ascii="Calibri" w:eastAsia="Times New Roman" w:hAnsi="Calibri" w:cs="Calibri"/>
          <w:i/>
          <w:color w:val="000000"/>
          <w:szCs w:val="24"/>
          <w:lang w:eastAsia="cs-CZ"/>
        </w:rPr>
        <w:t> </w:t>
      </w:r>
      <w:r w:rsidRPr="002614B2">
        <w:rPr>
          <w:rFonts w:ascii="Calibri" w:eastAsia="Times New Roman" w:hAnsi="Calibri" w:cs="Calibri"/>
          <w:i/>
          <w:color w:val="000000"/>
          <w:szCs w:val="24"/>
          <w:lang w:eastAsia="cs-CZ"/>
        </w:rPr>
        <w:t>Egyptě</w:t>
      </w:r>
      <w:r w:rsidR="00440BB2">
        <w:rPr>
          <w:rFonts w:ascii="Calibri" w:eastAsia="Times New Roman" w:hAnsi="Calibri" w:cs="Calibri"/>
          <w:i/>
          <w:color w:val="000000"/>
          <w:szCs w:val="24"/>
          <w:lang w:eastAsia="cs-CZ"/>
        </w:rPr>
        <w:t>,</w:t>
      </w:r>
      <w:r w:rsidRPr="002614B2">
        <w:rPr>
          <w:rFonts w:ascii="Calibri" w:eastAsia="Times New Roman" w:hAnsi="Calibri" w:cs="Calibri"/>
          <w:i/>
          <w:color w:val="000000"/>
          <w:szCs w:val="24"/>
          <w:lang w:eastAsia="cs-CZ"/>
        </w:rPr>
        <w:t xml:space="preserve">“ </w:t>
      </w:r>
      <w:r w:rsidRPr="002614B2">
        <w:rPr>
          <w:rFonts w:ascii="Calibri" w:eastAsia="Times New Roman" w:hAnsi="Calibri" w:cs="Calibri"/>
          <w:color w:val="000000"/>
          <w:szCs w:val="24"/>
          <w:lang w:eastAsia="cs-CZ"/>
        </w:rPr>
        <w:t>řekl rektor Univerzity Karlovy, Tomáš Zima.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</w:p>
    <w:p w14:paraId="3CA01522" w14:textId="77777777" w:rsidR="0008486A" w:rsidRDefault="0008486A" w:rsidP="0008486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14:paraId="64579B0E" w14:textId="77777777" w:rsidR="0008486A" w:rsidRPr="002614B2" w:rsidRDefault="0008486A" w:rsidP="0008486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2614B2">
        <w:rPr>
          <w:rFonts w:ascii="Calibri" w:eastAsia="Times New Roman" w:hAnsi="Calibri" w:cs="Calibri"/>
          <w:color w:val="000000"/>
          <w:szCs w:val="24"/>
          <w:lang w:eastAsia="cs-CZ"/>
        </w:rPr>
        <w:t>Miroslav Bárta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,</w:t>
      </w:r>
      <w:r w:rsidRPr="002614B2"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vedoucí českých archeologických výzkumů v Egyptě, k tomu </w:t>
      </w:r>
      <w:r w:rsidRPr="002614B2">
        <w:rPr>
          <w:rFonts w:ascii="Calibri" w:eastAsia="Times New Roman" w:hAnsi="Calibri" w:cs="Calibri"/>
          <w:color w:val="000000"/>
          <w:szCs w:val="24"/>
          <w:lang w:eastAsia="cs-CZ"/>
        </w:rPr>
        <w:t xml:space="preserve">dodává: </w:t>
      </w:r>
      <w:r w:rsidRPr="002614B2">
        <w:rPr>
          <w:rFonts w:ascii="Calibri" w:eastAsia="Times New Roman" w:hAnsi="Calibri" w:cs="Calibri"/>
          <w:i/>
          <w:color w:val="000000"/>
          <w:szCs w:val="24"/>
          <w:lang w:eastAsia="cs-CZ"/>
        </w:rPr>
        <w:t xml:space="preserve">„Jednalo se o jednu z největších výstav svého druhu vůbec za uplynulých několik desítek let, jak  doma, </w:t>
      </w:r>
      <w:r w:rsidRPr="002614B2">
        <w:rPr>
          <w:rFonts w:ascii="Calibri" w:eastAsia="Times New Roman" w:hAnsi="Calibri" w:cs="Calibri"/>
          <w:i/>
          <w:color w:val="000000"/>
          <w:szCs w:val="24"/>
          <w:lang w:eastAsia="cs-CZ"/>
        </w:rPr>
        <w:lastRenderedPageBreak/>
        <w:t>tak v zahraničí. Jsem opravdu rád, že jsme výsledky našich výzkumů jedné z nejstarších civilizací na světě mohli i přes těžké podmínky představit právě české veřejnosti.“</w:t>
      </w:r>
    </w:p>
    <w:p w14:paraId="627AB475" w14:textId="34389FEE" w:rsidR="008F12CE" w:rsidRDefault="00417AA8" w:rsidP="00417AA8">
      <w:pPr>
        <w:pStyle w:val="Normlnweb"/>
        <w:jc w:val="both"/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Výstava, kterou připravilo Národní muzeum společně s Univerzitou Karlovou a Nejvyšší radou pro památky Egypta, byla kvůli </w:t>
      </w:r>
      <w:r w:rsidRPr="00F47DF0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  <w:lang w:eastAsia="en-US"/>
        </w:rPr>
        <w:t>protiepidemickým opatřením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několikrát uzavřena. Původně měla končit již začátkem února 2021, ale díky vyjednanému prodloužení bylo možné ji vidět až do konce září letošního roku. Celkem tak měli návštěvníci přesně 216 dní</w:t>
      </w:r>
      <w:r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na obdivování </w:t>
      </w:r>
      <w:r w:rsidRPr="0047676E">
        <w:rPr>
          <w:rFonts w:asciiTheme="minorHAnsi" w:hAnsiTheme="minorHAnsi" w:cstheme="minorHAnsi"/>
          <w:color w:val="000000"/>
          <w:shd w:val="clear" w:color="auto" w:fill="FFFFFF"/>
        </w:rPr>
        <w:t>poklad</w:t>
      </w:r>
      <w:r>
        <w:rPr>
          <w:rFonts w:asciiTheme="minorHAnsi" w:hAnsiTheme="minorHAnsi" w:cstheme="minorHAnsi"/>
          <w:color w:val="000000"/>
          <w:shd w:val="clear" w:color="auto" w:fill="FFFFFF"/>
        </w:rPr>
        <w:t>ů</w:t>
      </w:r>
      <w:r w:rsidRPr="0047676E">
        <w:rPr>
          <w:rFonts w:asciiTheme="minorHAnsi" w:hAnsiTheme="minorHAnsi" w:cstheme="minorHAnsi"/>
          <w:color w:val="000000"/>
          <w:shd w:val="clear" w:color="auto" w:fill="FFFFFF"/>
        </w:rPr>
        <w:t xml:space="preserve"> z doby 3. až 1. tisíciletí př. n. l.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z oblasti Abúsíru. Za tu dobu výstavu zhlédlo neuvěřitelných takřka 120 000 návštěvníků. 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J</w:t>
      </w:r>
      <w:r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eště nikdy nebylo z Egypta do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 </w:t>
      </w:r>
      <w:r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zahraničí zapůjčeno takové množství významných artefaktů jako právě na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 </w:t>
      </w:r>
      <w:r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výstavu </w:t>
      </w:r>
      <w:r w:rsidRPr="00CE2F51">
        <w:rPr>
          <w:rStyle w:val="Siln"/>
          <w:rFonts w:asciiTheme="minorHAnsi" w:hAnsiTheme="minorHAnsi" w:cstheme="minorHAnsi"/>
          <w:b w:val="0"/>
          <w:bCs w:val="0"/>
          <w:i/>
          <w:iCs/>
          <w:color w:val="000000"/>
          <w:shd w:val="clear" w:color="auto" w:fill="FFFFFF"/>
        </w:rPr>
        <w:t>Sluneční králové</w:t>
      </w:r>
      <w:r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.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Není tedy divu, že</w:t>
      </w:r>
      <w:r w:rsidRPr="00F47DF0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její pojistná hodnota byla 1 miliarda korun.</w:t>
      </w:r>
    </w:p>
    <w:p w14:paraId="5C2B0797" w14:textId="77777777" w:rsidR="006908A4" w:rsidRDefault="006908A4" w:rsidP="00DB0968">
      <w:pPr>
        <w:jc w:val="both"/>
        <w:rPr>
          <w:rFonts w:eastAsia="Calibri" w:cstheme="minorHAnsi"/>
          <w:b/>
          <w:color w:val="A50343"/>
        </w:rPr>
      </w:pPr>
    </w:p>
    <w:p w14:paraId="64943F15" w14:textId="30843D28" w:rsidR="00DB0968" w:rsidRPr="00C35C36" w:rsidRDefault="00DB0968" w:rsidP="00DB0968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 w:rsidP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 w:rsidP="00612B0C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4A0E2" w14:textId="77777777" w:rsidR="008B605A" w:rsidRDefault="008B605A" w:rsidP="006F2CD0">
      <w:pPr>
        <w:spacing w:after="0" w:line="240" w:lineRule="auto"/>
      </w:pPr>
      <w:r>
        <w:separator/>
      </w:r>
    </w:p>
  </w:endnote>
  <w:endnote w:type="continuationSeparator" w:id="0">
    <w:p w14:paraId="15949219" w14:textId="77777777" w:rsidR="008B605A" w:rsidRDefault="008B605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001BC" w14:textId="77777777" w:rsidR="008B605A" w:rsidRDefault="008B605A" w:rsidP="006F2CD0">
      <w:pPr>
        <w:spacing w:after="0" w:line="240" w:lineRule="auto"/>
      </w:pPr>
      <w:r>
        <w:separator/>
      </w:r>
    </w:p>
  </w:footnote>
  <w:footnote w:type="continuationSeparator" w:id="0">
    <w:p w14:paraId="0D0BC5FC" w14:textId="77777777" w:rsidR="008B605A" w:rsidRDefault="008B605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12F5C"/>
    <w:rsid w:val="00017EAB"/>
    <w:rsid w:val="0002452E"/>
    <w:rsid w:val="000353E3"/>
    <w:rsid w:val="00037991"/>
    <w:rsid w:val="000501D9"/>
    <w:rsid w:val="00052044"/>
    <w:rsid w:val="000831AD"/>
    <w:rsid w:val="0008486A"/>
    <w:rsid w:val="00117E76"/>
    <w:rsid w:val="00127D23"/>
    <w:rsid w:val="0013089E"/>
    <w:rsid w:val="0014080A"/>
    <w:rsid w:val="00156C0C"/>
    <w:rsid w:val="001672FF"/>
    <w:rsid w:val="00177EC1"/>
    <w:rsid w:val="0019486E"/>
    <w:rsid w:val="001A2FE3"/>
    <w:rsid w:val="001A61AC"/>
    <w:rsid w:val="001B4282"/>
    <w:rsid w:val="001C09CC"/>
    <w:rsid w:val="001E5D61"/>
    <w:rsid w:val="001F5019"/>
    <w:rsid w:val="00200F11"/>
    <w:rsid w:val="00235C5C"/>
    <w:rsid w:val="00241613"/>
    <w:rsid w:val="00243626"/>
    <w:rsid w:val="00254B33"/>
    <w:rsid w:val="00261D1C"/>
    <w:rsid w:val="0027297A"/>
    <w:rsid w:val="00275DE7"/>
    <w:rsid w:val="00283330"/>
    <w:rsid w:val="002B1D87"/>
    <w:rsid w:val="002B4A7D"/>
    <w:rsid w:val="002B6469"/>
    <w:rsid w:val="002C7229"/>
    <w:rsid w:val="003067B3"/>
    <w:rsid w:val="00313F11"/>
    <w:rsid w:val="003307D0"/>
    <w:rsid w:val="003571C2"/>
    <w:rsid w:val="00370600"/>
    <w:rsid w:val="00372A22"/>
    <w:rsid w:val="00394A6A"/>
    <w:rsid w:val="00395E05"/>
    <w:rsid w:val="003A0850"/>
    <w:rsid w:val="003A21A5"/>
    <w:rsid w:val="003B13F7"/>
    <w:rsid w:val="003B359D"/>
    <w:rsid w:val="003D3BE2"/>
    <w:rsid w:val="003D63E3"/>
    <w:rsid w:val="003E0BE1"/>
    <w:rsid w:val="003F5F9A"/>
    <w:rsid w:val="00400D76"/>
    <w:rsid w:val="0041662F"/>
    <w:rsid w:val="00417AA8"/>
    <w:rsid w:val="0043046B"/>
    <w:rsid w:val="00435A30"/>
    <w:rsid w:val="00440BB2"/>
    <w:rsid w:val="00460838"/>
    <w:rsid w:val="004756F5"/>
    <w:rsid w:val="0047676E"/>
    <w:rsid w:val="00481AAD"/>
    <w:rsid w:val="004A1B15"/>
    <w:rsid w:val="004B4C66"/>
    <w:rsid w:val="004B6967"/>
    <w:rsid w:val="004E3641"/>
    <w:rsid w:val="004E511B"/>
    <w:rsid w:val="004F29AD"/>
    <w:rsid w:val="005243E4"/>
    <w:rsid w:val="00527EB7"/>
    <w:rsid w:val="005532F6"/>
    <w:rsid w:val="00554F2D"/>
    <w:rsid w:val="00560105"/>
    <w:rsid w:val="00563244"/>
    <w:rsid w:val="00563338"/>
    <w:rsid w:val="00564166"/>
    <w:rsid w:val="00570637"/>
    <w:rsid w:val="0057321C"/>
    <w:rsid w:val="00576C60"/>
    <w:rsid w:val="005A1596"/>
    <w:rsid w:val="005B26C8"/>
    <w:rsid w:val="005B6E9A"/>
    <w:rsid w:val="00603230"/>
    <w:rsid w:val="006068C5"/>
    <w:rsid w:val="00612B0C"/>
    <w:rsid w:val="0062122C"/>
    <w:rsid w:val="006601F7"/>
    <w:rsid w:val="006908A4"/>
    <w:rsid w:val="006A7F01"/>
    <w:rsid w:val="006F2CD0"/>
    <w:rsid w:val="006F7346"/>
    <w:rsid w:val="007038DF"/>
    <w:rsid w:val="0070781D"/>
    <w:rsid w:val="007213F8"/>
    <w:rsid w:val="007470BB"/>
    <w:rsid w:val="0077528B"/>
    <w:rsid w:val="00784513"/>
    <w:rsid w:val="00790A5F"/>
    <w:rsid w:val="007A2AB2"/>
    <w:rsid w:val="007B6E8F"/>
    <w:rsid w:val="007C7CCD"/>
    <w:rsid w:val="007D169F"/>
    <w:rsid w:val="007E22C3"/>
    <w:rsid w:val="007E5DE5"/>
    <w:rsid w:val="008022AC"/>
    <w:rsid w:val="00823565"/>
    <w:rsid w:val="00827EB9"/>
    <w:rsid w:val="00837FA6"/>
    <w:rsid w:val="00841964"/>
    <w:rsid w:val="0086124B"/>
    <w:rsid w:val="008A29BE"/>
    <w:rsid w:val="008A3B74"/>
    <w:rsid w:val="008A54DE"/>
    <w:rsid w:val="008B605A"/>
    <w:rsid w:val="008C19D7"/>
    <w:rsid w:val="008C4731"/>
    <w:rsid w:val="008C60DE"/>
    <w:rsid w:val="008E70B0"/>
    <w:rsid w:val="008F12CE"/>
    <w:rsid w:val="008F4CBD"/>
    <w:rsid w:val="00904E2F"/>
    <w:rsid w:val="009100BF"/>
    <w:rsid w:val="00932F2E"/>
    <w:rsid w:val="009330B5"/>
    <w:rsid w:val="00943C28"/>
    <w:rsid w:val="009539EB"/>
    <w:rsid w:val="00955500"/>
    <w:rsid w:val="00966631"/>
    <w:rsid w:val="00976B83"/>
    <w:rsid w:val="009801B1"/>
    <w:rsid w:val="00982B00"/>
    <w:rsid w:val="009C1A2A"/>
    <w:rsid w:val="009C48E6"/>
    <w:rsid w:val="009F5EB9"/>
    <w:rsid w:val="009F662B"/>
    <w:rsid w:val="00A12D2E"/>
    <w:rsid w:val="00A234AF"/>
    <w:rsid w:val="00A25AEC"/>
    <w:rsid w:val="00A3587F"/>
    <w:rsid w:val="00A35C95"/>
    <w:rsid w:val="00A467E6"/>
    <w:rsid w:val="00A63674"/>
    <w:rsid w:val="00A92E43"/>
    <w:rsid w:val="00AA7915"/>
    <w:rsid w:val="00AB6C8D"/>
    <w:rsid w:val="00AD6B7B"/>
    <w:rsid w:val="00AE3177"/>
    <w:rsid w:val="00B0263B"/>
    <w:rsid w:val="00B02EEF"/>
    <w:rsid w:val="00B06AA8"/>
    <w:rsid w:val="00B11D1B"/>
    <w:rsid w:val="00B317C0"/>
    <w:rsid w:val="00B53BE7"/>
    <w:rsid w:val="00B6296A"/>
    <w:rsid w:val="00B854FA"/>
    <w:rsid w:val="00BA34E7"/>
    <w:rsid w:val="00BC7CD4"/>
    <w:rsid w:val="00BE08E3"/>
    <w:rsid w:val="00BF110E"/>
    <w:rsid w:val="00C041BB"/>
    <w:rsid w:val="00C10CD3"/>
    <w:rsid w:val="00C27464"/>
    <w:rsid w:val="00C32FF1"/>
    <w:rsid w:val="00C35C36"/>
    <w:rsid w:val="00C4297B"/>
    <w:rsid w:val="00C562BD"/>
    <w:rsid w:val="00C62B0F"/>
    <w:rsid w:val="00C7618F"/>
    <w:rsid w:val="00C9266D"/>
    <w:rsid w:val="00C97A08"/>
    <w:rsid w:val="00CA5AD2"/>
    <w:rsid w:val="00CD4F29"/>
    <w:rsid w:val="00CD63DB"/>
    <w:rsid w:val="00CE2F51"/>
    <w:rsid w:val="00CF1E71"/>
    <w:rsid w:val="00D03424"/>
    <w:rsid w:val="00D4263F"/>
    <w:rsid w:val="00D441AE"/>
    <w:rsid w:val="00D5336A"/>
    <w:rsid w:val="00D568C0"/>
    <w:rsid w:val="00D64896"/>
    <w:rsid w:val="00D761B2"/>
    <w:rsid w:val="00DB0968"/>
    <w:rsid w:val="00DB75AE"/>
    <w:rsid w:val="00E377B5"/>
    <w:rsid w:val="00E43D39"/>
    <w:rsid w:val="00E53BF4"/>
    <w:rsid w:val="00E66DBC"/>
    <w:rsid w:val="00E74345"/>
    <w:rsid w:val="00E82518"/>
    <w:rsid w:val="00E940B1"/>
    <w:rsid w:val="00EA70B6"/>
    <w:rsid w:val="00EB0ABF"/>
    <w:rsid w:val="00ED022C"/>
    <w:rsid w:val="00EE6D1B"/>
    <w:rsid w:val="00EE7E85"/>
    <w:rsid w:val="00EF0F7A"/>
    <w:rsid w:val="00EF7252"/>
    <w:rsid w:val="00F00698"/>
    <w:rsid w:val="00F01CAD"/>
    <w:rsid w:val="00F0295C"/>
    <w:rsid w:val="00F06CB4"/>
    <w:rsid w:val="00F234D4"/>
    <w:rsid w:val="00F44C06"/>
    <w:rsid w:val="00F47DF0"/>
    <w:rsid w:val="00F56C60"/>
    <w:rsid w:val="00F71BC7"/>
    <w:rsid w:val="00F815E1"/>
    <w:rsid w:val="00F81D78"/>
    <w:rsid w:val="00F87CA9"/>
    <w:rsid w:val="00FA36B5"/>
    <w:rsid w:val="00FD1560"/>
    <w:rsid w:val="00FD25DD"/>
    <w:rsid w:val="00FD7BDC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84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8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8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4A124-F1FA-4FC6-BD77-7484C2410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D012A-90FE-4F9C-B894-E7BCF2E1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2021-10-12T06:29:00Z</cp:lastPrinted>
  <dcterms:created xsi:type="dcterms:W3CDTF">2021-10-12T13:32:00Z</dcterms:created>
  <dcterms:modified xsi:type="dcterms:W3CDTF">2021-10-12T13:32:00Z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